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AFE" w:rsidRDefault="00D86AE3" w:rsidP="00BF5AFE">
      <w:pPr>
        <w:spacing w:after="0" w:line="240" w:lineRule="auto"/>
        <w:jc w:val="center"/>
        <w:rPr>
          <w:rFonts w:ascii="Bookman Old Style" w:eastAsia="Times New Roman" w:hAnsi="Bookman Old Style" w:cs="Times New Roman"/>
          <w:b/>
          <w:color w:val="000080"/>
          <w:sz w:val="30"/>
          <w:szCs w:val="32"/>
        </w:rPr>
      </w:pPr>
      <w:r>
        <w:rPr>
          <w:noProof/>
          <w:sz w:val="24"/>
          <w:szCs w:val="24"/>
        </w:rPr>
        <w:drawing>
          <wp:anchor distT="0" distB="0" distL="114300" distR="114300" simplePos="0" relativeHeight="251658240" behindDoc="1" locked="0" layoutInCell="1" allowOverlap="1">
            <wp:simplePos x="0" y="0"/>
            <wp:positionH relativeFrom="column">
              <wp:posOffset>-688340</wp:posOffset>
            </wp:positionH>
            <wp:positionV relativeFrom="paragraph">
              <wp:posOffset>93980</wp:posOffset>
            </wp:positionV>
            <wp:extent cx="688340" cy="690245"/>
            <wp:effectExtent l="19050" t="0" r="0" b="0"/>
            <wp:wrapNone/>
            <wp:docPr id="3"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6"/>
                    <a:srcRect/>
                    <a:stretch>
                      <a:fillRect/>
                    </a:stretch>
                  </pic:blipFill>
                  <pic:spPr bwMode="auto">
                    <a:xfrm>
                      <a:off x="0" y="0"/>
                      <a:ext cx="688340" cy="690245"/>
                    </a:xfrm>
                    <a:prstGeom prst="rect">
                      <a:avLst/>
                    </a:prstGeom>
                    <a:noFill/>
                  </pic:spPr>
                </pic:pic>
              </a:graphicData>
            </a:graphic>
          </wp:anchor>
        </w:drawing>
      </w:r>
      <w:r w:rsidR="00BF5AFE">
        <w:rPr>
          <w:rFonts w:ascii="Bookman Old Style" w:hAnsi="Bookman Old Style"/>
          <w:b/>
          <w:color w:val="000080"/>
          <w:sz w:val="30"/>
          <w:szCs w:val="32"/>
        </w:rPr>
        <w:t>SRI SIDDHARTHA ACADEMY OF HIGHER EDUCATION</w:t>
      </w:r>
    </w:p>
    <w:p w:rsidR="00BF5AFE" w:rsidRDefault="00BF5AFE" w:rsidP="00BF5AFE">
      <w:pPr>
        <w:spacing w:after="0" w:line="240" w:lineRule="auto"/>
        <w:ind w:left="-720" w:right="36"/>
        <w:jc w:val="center"/>
        <w:rPr>
          <w:rFonts w:ascii="Bookman Old Style" w:hAnsi="Bookman Old Style"/>
          <w:b/>
          <w:sz w:val="18"/>
          <w:szCs w:val="18"/>
        </w:rPr>
      </w:pPr>
      <w:r>
        <w:rPr>
          <w:rFonts w:ascii="Bookman Old Style" w:hAnsi="Bookman Old Style"/>
          <w:b/>
          <w:sz w:val="18"/>
          <w:szCs w:val="18"/>
        </w:rPr>
        <w:t>(DEEMED TO BE UNIVERSITY)</w:t>
      </w:r>
    </w:p>
    <w:p w:rsidR="00BF5AFE" w:rsidRDefault="00BF5AFE" w:rsidP="00BF5AFE">
      <w:pPr>
        <w:spacing w:after="0" w:line="240" w:lineRule="auto"/>
        <w:ind w:left="-720" w:right="36"/>
        <w:jc w:val="center"/>
        <w:rPr>
          <w:rFonts w:ascii="Times New Roman" w:hAnsi="Times New Roman"/>
          <w:b/>
          <w:i/>
          <w:sz w:val="18"/>
          <w:szCs w:val="18"/>
        </w:rPr>
      </w:pPr>
      <w:proofErr w:type="gramStart"/>
      <w:r>
        <w:rPr>
          <w:b/>
          <w:i/>
          <w:sz w:val="18"/>
          <w:szCs w:val="18"/>
        </w:rPr>
        <w:t xml:space="preserve">Declared under Section 3 of the UGC Act, 1956, </w:t>
      </w:r>
      <w:r>
        <w:rPr>
          <w:b/>
          <w:sz w:val="18"/>
          <w:szCs w:val="18"/>
        </w:rPr>
        <w:t xml:space="preserve">MHRD </w:t>
      </w:r>
      <w:r>
        <w:rPr>
          <w:b/>
          <w:i/>
          <w:sz w:val="18"/>
          <w:szCs w:val="18"/>
        </w:rPr>
        <w:t>GOI No.</w:t>
      </w:r>
      <w:proofErr w:type="gramEnd"/>
      <w:r>
        <w:rPr>
          <w:b/>
          <w:i/>
          <w:sz w:val="18"/>
          <w:szCs w:val="18"/>
        </w:rPr>
        <w:t xml:space="preserve"> F.9-31/2006-U.3 (A) dated: 30/05/2008</w:t>
      </w:r>
    </w:p>
    <w:p w:rsidR="00BF5AFE" w:rsidRDefault="00BF5AFE" w:rsidP="00BF5AFE">
      <w:pPr>
        <w:spacing w:after="0" w:line="240" w:lineRule="auto"/>
        <w:jc w:val="center"/>
        <w:rPr>
          <w:b/>
          <w:sz w:val="24"/>
          <w:szCs w:val="24"/>
        </w:rPr>
      </w:pPr>
      <w:r>
        <w:rPr>
          <w:rFonts w:ascii="New Century Schoolbook" w:hAnsi="New Century Schoolbook"/>
          <w:b/>
          <w:color w:val="800000"/>
        </w:rPr>
        <w:t>Accredited ‘A’ Grade by NAAC</w:t>
      </w:r>
    </w:p>
    <w:p w:rsidR="00BF5AFE" w:rsidRDefault="00BF5AFE" w:rsidP="00BF5AFE">
      <w:pPr>
        <w:tabs>
          <w:tab w:val="left" w:pos="452"/>
          <w:tab w:val="center" w:pos="5112"/>
        </w:tabs>
        <w:spacing w:after="0" w:line="240" w:lineRule="auto"/>
        <w:ind w:left="-720" w:right="36"/>
        <w:jc w:val="center"/>
        <w:rPr>
          <w:rFonts w:ascii="Bookman Old Style" w:hAnsi="Bookman Old Style"/>
          <w:b/>
          <w:color w:val="000000"/>
        </w:rPr>
      </w:pPr>
      <w:r>
        <w:rPr>
          <w:rFonts w:ascii="Bookman Old Style" w:hAnsi="Bookman Old Style"/>
          <w:b/>
        </w:rPr>
        <w:t xml:space="preserve">Agalakote, B.H.Road, Tumkur – </w:t>
      </w:r>
      <w:proofErr w:type="gramStart"/>
      <w:r>
        <w:rPr>
          <w:rFonts w:ascii="Bookman Old Style" w:hAnsi="Bookman Old Style"/>
          <w:b/>
        </w:rPr>
        <w:t>572 107.KARNATAKA, INDIA</w:t>
      </w:r>
      <w:proofErr w:type="gramEnd"/>
      <w:r>
        <w:rPr>
          <w:rFonts w:ascii="Bookman Old Style" w:hAnsi="Bookman Old Style"/>
          <w:b/>
        </w:rPr>
        <w:t>.</w:t>
      </w:r>
    </w:p>
    <w:p w:rsidR="00BF5AFE" w:rsidRDefault="00BF5AFE" w:rsidP="00BF5AFE">
      <w:pPr>
        <w:pStyle w:val="Header"/>
        <w:ind w:left="-720" w:right="36"/>
        <w:jc w:val="center"/>
        <w:rPr>
          <w:sz w:val="20"/>
        </w:rPr>
      </w:pPr>
      <w:r>
        <w:rPr>
          <w:sz w:val="20"/>
        </w:rPr>
        <w:t xml:space="preserve">Ph. 0816- 2275516, </w:t>
      </w:r>
      <w:proofErr w:type="gramStart"/>
      <w:r>
        <w:rPr>
          <w:sz w:val="20"/>
        </w:rPr>
        <w:t>2275512 ,</w:t>
      </w:r>
      <w:proofErr w:type="gramEnd"/>
      <w:r>
        <w:rPr>
          <w:sz w:val="20"/>
        </w:rPr>
        <w:t xml:space="preserve"> Fax : 0816-2275510 website: sahetumkur.ac.in  email: info@sahe.in , iqac@sahe.in</w:t>
      </w:r>
    </w:p>
    <w:p w:rsidR="00BF5AFE" w:rsidRDefault="00943C31" w:rsidP="00BF5AFE">
      <w:pPr>
        <w:spacing w:after="0" w:line="240" w:lineRule="auto"/>
        <w:ind w:left="-720" w:right="36"/>
        <w:jc w:val="center"/>
        <w:rPr>
          <w:rFonts w:ascii="New Century Schoolbook" w:hAnsi="New Century Schoolbook"/>
          <w:i/>
          <w:sz w:val="24"/>
        </w:rPr>
      </w:pPr>
      <w:r w:rsidRPr="00943C31">
        <w:rPr>
          <w:sz w:val="24"/>
        </w:rPr>
        <w:pict>
          <v:line id="_x0000_s1026" style="position:absolute;left:0;text-align:left;z-index:251657216" from="-90pt,7.15pt" to="603pt,7.15pt" strokeweight="6pt">
            <v:stroke linestyle="thickBetweenThin"/>
          </v:line>
        </w:pict>
      </w:r>
    </w:p>
    <w:p w:rsidR="00B447B1" w:rsidRPr="00B447B1" w:rsidRDefault="00D86AE3" w:rsidP="00BE780B">
      <w:pPr>
        <w:spacing w:after="0" w:line="360" w:lineRule="auto"/>
        <w:ind w:left="709" w:hanging="709"/>
        <w:rPr>
          <w:rFonts w:ascii="Times New Roman" w:hAnsi="Times New Roman" w:cs="Times New Roman"/>
          <w:b/>
          <w:sz w:val="28"/>
          <w:szCs w:val="28"/>
        </w:rPr>
      </w:pPr>
      <w:r w:rsidRPr="00B447B1">
        <w:rPr>
          <w:rFonts w:ascii="Times New Roman" w:hAnsi="Times New Roman" w:cs="Times New Roman"/>
          <w:b/>
          <w:sz w:val="28"/>
          <w:szCs w:val="28"/>
        </w:rPr>
        <w:t xml:space="preserve">2.6.1 </w:t>
      </w:r>
      <w:r w:rsidRPr="00751D05">
        <w:rPr>
          <w:rFonts w:ascii="Times New Roman" w:hAnsi="Times New Roman" w:cs="Times New Roman"/>
          <w:b/>
          <w:sz w:val="28"/>
          <w:szCs w:val="28"/>
        </w:rPr>
        <w:t>The institution has stated learning outcomes /graduate attributes as per the provision of Regulatory bodies which are integrated into the assessment process and widely publicized through the website and other documents</w:t>
      </w:r>
      <w:r w:rsidRPr="00B447B1">
        <w:rPr>
          <w:rFonts w:ascii="Times New Roman" w:hAnsi="Times New Roman" w:cs="Times New Roman"/>
          <w:b/>
          <w:sz w:val="28"/>
          <w:szCs w:val="28"/>
        </w:rPr>
        <w:t xml:space="preserve"> </w:t>
      </w:r>
    </w:p>
    <w:p w:rsidR="00B447B1" w:rsidRDefault="00B447B1" w:rsidP="00BE780B">
      <w:pPr>
        <w:spacing w:after="0" w:line="360" w:lineRule="auto"/>
        <w:rPr>
          <w:rFonts w:ascii="Times New Roman" w:hAnsi="Times New Roman" w:cs="Times New Roman"/>
          <w:sz w:val="28"/>
          <w:szCs w:val="28"/>
        </w:rPr>
      </w:pPr>
    </w:p>
    <w:p w:rsidR="00B447B1" w:rsidRDefault="00D86AE3" w:rsidP="00BE780B">
      <w:pPr>
        <w:spacing w:after="0" w:line="360" w:lineRule="auto"/>
        <w:rPr>
          <w:rFonts w:ascii="Times New Roman" w:hAnsi="Times New Roman" w:cs="Times New Roman"/>
          <w:sz w:val="28"/>
          <w:szCs w:val="28"/>
        </w:rPr>
      </w:pPr>
      <w:r w:rsidRPr="00B447B1">
        <w:rPr>
          <w:rFonts w:ascii="Times New Roman" w:hAnsi="Times New Roman" w:cs="Times New Roman"/>
          <w:b/>
          <w:sz w:val="28"/>
          <w:szCs w:val="28"/>
        </w:rPr>
        <w:t>Response:</w:t>
      </w:r>
      <w:r w:rsidRPr="00B447B1">
        <w:rPr>
          <w:rFonts w:ascii="Times New Roman" w:hAnsi="Times New Roman" w:cs="Times New Roman"/>
          <w:sz w:val="28"/>
          <w:szCs w:val="28"/>
        </w:rPr>
        <w:t xml:space="preserve"> </w:t>
      </w:r>
    </w:p>
    <w:p w:rsidR="00F12C20" w:rsidRPr="00F12C20" w:rsidRDefault="00F12C20" w:rsidP="00BE780B">
      <w:pPr>
        <w:pStyle w:val="ListParagraph"/>
        <w:numPr>
          <w:ilvl w:val="0"/>
          <w:numId w:val="7"/>
        </w:numPr>
        <w:spacing w:line="360" w:lineRule="auto"/>
        <w:rPr>
          <w:rFonts w:ascii="Times New Roman" w:hAnsi="Times New Roman"/>
          <w:sz w:val="28"/>
        </w:rPr>
      </w:pPr>
      <w:r>
        <w:rPr>
          <w:rFonts w:ascii="Times New Roman" w:hAnsi="Times New Roman"/>
          <w:sz w:val="28"/>
          <w:szCs w:val="28"/>
        </w:rPr>
        <w:t xml:space="preserve">SSAHE </w:t>
      </w:r>
      <w:r w:rsidRPr="00B447B1">
        <w:rPr>
          <w:rFonts w:ascii="Times New Roman" w:hAnsi="Times New Roman"/>
          <w:sz w:val="28"/>
          <w:szCs w:val="28"/>
        </w:rPr>
        <w:t>is moving from teacher centric learning to student-centric learning by adopting Outcome-Based Education (OBE).</w:t>
      </w:r>
      <w:r>
        <w:rPr>
          <w:rFonts w:ascii="Times New Roman" w:hAnsi="Times New Roman"/>
          <w:sz w:val="28"/>
          <w:szCs w:val="28"/>
        </w:rPr>
        <w:t xml:space="preserve"> </w:t>
      </w:r>
      <w:r w:rsidRPr="00B447B1">
        <w:rPr>
          <w:rFonts w:ascii="Times New Roman" w:hAnsi="Times New Roman"/>
          <w:sz w:val="28"/>
          <w:szCs w:val="28"/>
        </w:rPr>
        <w:t>Main focus is on measuring student performance i.e. outcomes at different levels.</w:t>
      </w:r>
    </w:p>
    <w:p w:rsidR="00BE780B" w:rsidRDefault="00A92A81" w:rsidP="00BE780B">
      <w:pPr>
        <w:pStyle w:val="ListParagraph"/>
        <w:numPr>
          <w:ilvl w:val="0"/>
          <w:numId w:val="7"/>
        </w:numPr>
        <w:spacing w:line="360" w:lineRule="auto"/>
        <w:rPr>
          <w:rFonts w:ascii="Times New Roman" w:hAnsi="Times New Roman"/>
          <w:sz w:val="28"/>
        </w:rPr>
      </w:pPr>
      <w:r w:rsidRPr="00BE780B">
        <w:rPr>
          <w:rFonts w:ascii="Times New Roman" w:hAnsi="Times New Roman"/>
          <w:b/>
          <w:sz w:val="28"/>
        </w:rPr>
        <w:t>Program Outcomes</w:t>
      </w:r>
      <w:r w:rsidRPr="00BE780B">
        <w:rPr>
          <w:rFonts w:ascii="Times New Roman" w:hAnsi="Times New Roman"/>
          <w:sz w:val="28"/>
        </w:rPr>
        <w:t xml:space="preserve"> are statements about the knowledge, skills, and attitudes (attributes) that a graduate should</w:t>
      </w:r>
      <w:r w:rsidR="00BE780B">
        <w:rPr>
          <w:rFonts w:ascii="Times New Roman" w:hAnsi="Times New Roman"/>
          <w:sz w:val="28"/>
        </w:rPr>
        <w:t xml:space="preserve"> attain at the end of a program</w:t>
      </w:r>
    </w:p>
    <w:p w:rsidR="00A92A81" w:rsidRPr="00BE780B" w:rsidRDefault="007251DF" w:rsidP="00BE780B">
      <w:pPr>
        <w:pStyle w:val="ListParagraph"/>
        <w:numPr>
          <w:ilvl w:val="0"/>
          <w:numId w:val="7"/>
        </w:numPr>
        <w:spacing w:line="360" w:lineRule="auto"/>
        <w:rPr>
          <w:rFonts w:ascii="Times New Roman" w:hAnsi="Times New Roman"/>
          <w:sz w:val="28"/>
        </w:rPr>
      </w:pPr>
      <w:r w:rsidRPr="00BE780B">
        <w:rPr>
          <w:rFonts w:ascii="Times New Roman" w:hAnsi="Times New Roman"/>
          <w:sz w:val="28"/>
        </w:rPr>
        <w:t xml:space="preserve">At SSAHE, all the programmes have program outcomes (PO) which ensures the graduate attributes attainment. Before the start of any program, the graduate attributes are carefully articulated. </w:t>
      </w:r>
    </w:p>
    <w:p w:rsidR="007251DF" w:rsidRDefault="00A92A81" w:rsidP="00BE780B">
      <w:pPr>
        <w:pStyle w:val="ListParagraph"/>
        <w:numPr>
          <w:ilvl w:val="0"/>
          <w:numId w:val="7"/>
        </w:numPr>
        <w:spacing w:line="360" w:lineRule="auto"/>
        <w:rPr>
          <w:rFonts w:ascii="Times New Roman" w:hAnsi="Times New Roman"/>
          <w:sz w:val="28"/>
        </w:rPr>
      </w:pPr>
      <w:r w:rsidRPr="00A92A81">
        <w:rPr>
          <w:rFonts w:ascii="Times New Roman" w:hAnsi="Times New Roman"/>
          <w:b/>
          <w:sz w:val="28"/>
        </w:rPr>
        <w:t>Program-specific outcomes(PSOs)</w:t>
      </w:r>
      <w:r w:rsidRPr="00A92A81">
        <w:rPr>
          <w:rFonts w:ascii="Times New Roman" w:hAnsi="Times New Roman"/>
          <w:sz w:val="28"/>
        </w:rPr>
        <w:t xml:space="preserve"> are specific statements about what the student should be able to do at the time of graduation concerning cognitive, affective and psychomotor learning domains</w:t>
      </w:r>
      <w:r>
        <w:rPr>
          <w:rFonts w:ascii="Times New Roman" w:hAnsi="Times New Roman"/>
          <w:sz w:val="28"/>
        </w:rPr>
        <w:t xml:space="preserve"> </w:t>
      </w:r>
      <w:r w:rsidR="007251DF" w:rsidRPr="00A92A81">
        <w:rPr>
          <w:rFonts w:ascii="Times New Roman" w:hAnsi="Times New Roman"/>
          <w:sz w:val="28"/>
        </w:rPr>
        <w:t>are carefully formulated well as per the expectations of UGC, AICTE, MCI, DCI. The PSOs are designed and extensively formulated by Curriculum Development</w:t>
      </w:r>
      <w:r w:rsidRPr="00A92A81">
        <w:rPr>
          <w:rFonts w:ascii="Times New Roman" w:hAnsi="Times New Roman"/>
          <w:sz w:val="28"/>
        </w:rPr>
        <w:t xml:space="preserve"> Cell (CDC, </w:t>
      </w:r>
      <w:r w:rsidR="007251DF" w:rsidRPr="00A92A81">
        <w:rPr>
          <w:rFonts w:ascii="Times New Roman" w:hAnsi="Times New Roman"/>
          <w:sz w:val="28"/>
        </w:rPr>
        <w:t>an academic team constituted by a group of senior faculties of the program during the designing of curriculum. The PSOs are approved by the Board of studies (BOS) formed by internal, external academic experts and industrial representatives to provide inputs and reinforcement.</w:t>
      </w:r>
    </w:p>
    <w:p w:rsidR="00A92A81" w:rsidRDefault="00A92A81" w:rsidP="00BE780B">
      <w:pPr>
        <w:pStyle w:val="ListParagraph"/>
        <w:numPr>
          <w:ilvl w:val="0"/>
          <w:numId w:val="7"/>
        </w:numPr>
        <w:spacing w:line="360" w:lineRule="auto"/>
        <w:rPr>
          <w:rFonts w:ascii="Times New Roman" w:hAnsi="Times New Roman"/>
          <w:sz w:val="28"/>
        </w:rPr>
      </w:pPr>
      <w:r w:rsidRPr="00A92A81">
        <w:rPr>
          <w:rFonts w:ascii="Times New Roman" w:hAnsi="Times New Roman"/>
          <w:b/>
          <w:sz w:val="28"/>
        </w:rPr>
        <w:t>Course outcomes (COs)</w:t>
      </w:r>
      <w:r w:rsidRPr="00A92A81">
        <w:rPr>
          <w:rFonts w:ascii="Times New Roman" w:hAnsi="Times New Roman"/>
          <w:sz w:val="28"/>
        </w:rPr>
        <w:t xml:space="preserve"> are statements describing the meaningful, observable and measurable knowledge, skills, </w:t>
      </w:r>
      <w:proofErr w:type="gramStart"/>
      <w:r w:rsidRPr="00A92A81">
        <w:rPr>
          <w:rFonts w:ascii="Times New Roman" w:hAnsi="Times New Roman"/>
          <w:sz w:val="28"/>
        </w:rPr>
        <w:t>attitudes</w:t>
      </w:r>
      <w:proofErr w:type="gramEnd"/>
      <w:r w:rsidRPr="00A92A81">
        <w:rPr>
          <w:rFonts w:ascii="Times New Roman" w:hAnsi="Times New Roman"/>
          <w:sz w:val="28"/>
        </w:rPr>
        <w:t xml:space="preserve"> and attributes the student will learn by the </w:t>
      </w:r>
      <w:r w:rsidRPr="00A92A81">
        <w:rPr>
          <w:rFonts w:ascii="Times New Roman" w:hAnsi="Times New Roman"/>
          <w:sz w:val="28"/>
        </w:rPr>
        <w:lastRenderedPageBreak/>
        <w:t xml:space="preserve">end of course/subject. </w:t>
      </w:r>
      <w:r w:rsidR="007251DF" w:rsidRPr="00A92A81">
        <w:rPr>
          <w:rFonts w:ascii="Times New Roman" w:hAnsi="Times New Roman"/>
          <w:sz w:val="28"/>
        </w:rPr>
        <w:t xml:space="preserve">The program outcomes are trimmed into </w:t>
      </w:r>
      <w:r w:rsidRPr="00A92A81">
        <w:rPr>
          <w:rFonts w:ascii="Times New Roman" w:hAnsi="Times New Roman"/>
          <w:sz w:val="28"/>
        </w:rPr>
        <w:t>C</w:t>
      </w:r>
      <w:r w:rsidR="007251DF" w:rsidRPr="00A92A81">
        <w:rPr>
          <w:rFonts w:ascii="Times New Roman" w:hAnsi="Times New Roman"/>
          <w:sz w:val="28"/>
        </w:rPr>
        <w:t>ourse outcomes ensuring applied, analytical and experimental learning, reflective and critical thinking.</w:t>
      </w:r>
    </w:p>
    <w:p w:rsidR="00A92A81" w:rsidRDefault="00A92A81" w:rsidP="00BE780B">
      <w:pPr>
        <w:pStyle w:val="ListParagraph"/>
        <w:numPr>
          <w:ilvl w:val="0"/>
          <w:numId w:val="7"/>
        </w:numPr>
        <w:spacing w:line="360" w:lineRule="auto"/>
        <w:rPr>
          <w:rFonts w:ascii="Times New Roman" w:hAnsi="Times New Roman"/>
          <w:sz w:val="28"/>
        </w:rPr>
      </w:pPr>
      <w:r>
        <w:rPr>
          <w:rFonts w:ascii="Times New Roman" w:hAnsi="Times New Roman"/>
          <w:sz w:val="28"/>
        </w:rPr>
        <w:t>C</w:t>
      </w:r>
      <w:r w:rsidR="007251DF" w:rsidRPr="00A92A81">
        <w:rPr>
          <w:rFonts w:ascii="Times New Roman" w:hAnsi="Times New Roman"/>
          <w:sz w:val="28"/>
        </w:rPr>
        <w:t xml:space="preserve">ourse outcomes (COs) which are formulated by the faculty team handling the respective course at the stage of syllabus design and ensures creative thinking. The COs </w:t>
      </w:r>
      <w:proofErr w:type="gramStart"/>
      <w:r w:rsidR="007251DF" w:rsidRPr="00A92A81">
        <w:rPr>
          <w:rFonts w:ascii="Times New Roman" w:hAnsi="Times New Roman"/>
          <w:sz w:val="28"/>
        </w:rPr>
        <w:t>are</w:t>
      </w:r>
      <w:proofErr w:type="gramEnd"/>
      <w:r w:rsidR="007251DF" w:rsidRPr="00A92A81">
        <w:rPr>
          <w:rFonts w:ascii="Times New Roman" w:hAnsi="Times New Roman"/>
          <w:sz w:val="28"/>
        </w:rPr>
        <w:t xml:space="preserve"> ensured to cover the entire syllabus and specified competencies among the students. </w:t>
      </w:r>
    </w:p>
    <w:p w:rsidR="00A92A81" w:rsidRDefault="00A92A81" w:rsidP="00BE780B">
      <w:pPr>
        <w:pStyle w:val="ListParagraph"/>
        <w:numPr>
          <w:ilvl w:val="0"/>
          <w:numId w:val="7"/>
        </w:numPr>
        <w:spacing w:line="360" w:lineRule="auto"/>
        <w:rPr>
          <w:rFonts w:ascii="Times New Roman" w:hAnsi="Times New Roman"/>
          <w:sz w:val="28"/>
        </w:rPr>
      </w:pPr>
      <w:r w:rsidRPr="00A92A81">
        <w:rPr>
          <w:rFonts w:ascii="Times New Roman" w:hAnsi="Times New Roman"/>
          <w:b/>
          <w:sz w:val="28"/>
        </w:rPr>
        <w:t>Course-specific learning outcomes (SLO)</w:t>
      </w:r>
      <w:r>
        <w:rPr>
          <w:rFonts w:ascii="Times New Roman" w:hAnsi="Times New Roman"/>
          <w:sz w:val="28"/>
        </w:rPr>
        <w:t xml:space="preserve"> </w:t>
      </w:r>
      <w:r w:rsidRPr="00A92A81">
        <w:rPr>
          <w:rFonts w:ascii="Times New Roman" w:hAnsi="Times New Roman"/>
          <w:sz w:val="28"/>
        </w:rPr>
        <w:t>or Competencies are designed to be a measurable, observable, and specific statement indicating what the student must know and should be able to do at the end of a teaching-learning process</w:t>
      </w:r>
    </w:p>
    <w:p w:rsidR="00A92A81" w:rsidRPr="00A92A81" w:rsidRDefault="00A92A81" w:rsidP="00BE780B">
      <w:pPr>
        <w:pStyle w:val="ListParagraph"/>
        <w:numPr>
          <w:ilvl w:val="0"/>
          <w:numId w:val="7"/>
        </w:numPr>
        <w:spacing w:line="360" w:lineRule="auto"/>
        <w:rPr>
          <w:rFonts w:ascii="Times New Roman" w:hAnsi="Times New Roman"/>
          <w:sz w:val="28"/>
        </w:rPr>
      </w:pPr>
      <w:r w:rsidRPr="00A92A81">
        <w:rPr>
          <w:rFonts w:ascii="Times New Roman" w:hAnsi="Times New Roman"/>
          <w:b/>
          <w:sz w:val="28"/>
        </w:rPr>
        <w:t>Mapping of learning outcomes</w:t>
      </w:r>
      <w:r w:rsidRPr="00A92A81">
        <w:rPr>
          <w:rFonts w:ascii="Times New Roman" w:hAnsi="Times New Roman"/>
          <w:sz w:val="28"/>
        </w:rPr>
        <w:t>:</w:t>
      </w:r>
      <w:r>
        <w:rPr>
          <w:rFonts w:ascii="Times New Roman" w:hAnsi="Times New Roman"/>
          <w:sz w:val="28"/>
        </w:rPr>
        <w:t xml:space="preserve"> </w:t>
      </w:r>
      <w:r w:rsidRPr="00A92A81">
        <w:rPr>
          <w:rFonts w:ascii="Times New Roman" w:hAnsi="Times New Roman"/>
          <w:sz w:val="28"/>
        </w:rPr>
        <w:t>Course-specific outcomes/Competencies are mapped with the course outcomes using attainment values (Substant</w:t>
      </w:r>
      <w:r w:rsidR="00F12C20">
        <w:rPr>
          <w:rFonts w:ascii="Times New Roman" w:hAnsi="Times New Roman"/>
          <w:sz w:val="28"/>
        </w:rPr>
        <w:t xml:space="preserve">ial, Moderate, Slight and None). </w:t>
      </w:r>
      <w:r w:rsidRPr="00A92A81">
        <w:rPr>
          <w:rFonts w:ascii="Times New Roman" w:hAnsi="Times New Roman"/>
          <w:sz w:val="28"/>
        </w:rPr>
        <w:t xml:space="preserve"> Similarly, course outcomes are mapped with program outcomes</w:t>
      </w:r>
      <w:r w:rsidR="00F12C20">
        <w:rPr>
          <w:rFonts w:ascii="Times New Roman" w:hAnsi="Times New Roman"/>
          <w:sz w:val="28"/>
        </w:rPr>
        <w:t xml:space="preserve">. </w:t>
      </w:r>
      <w:r w:rsidRPr="00A92A81">
        <w:rPr>
          <w:rFonts w:ascii="Times New Roman" w:hAnsi="Times New Roman"/>
          <w:sz w:val="28"/>
        </w:rPr>
        <w:t>The different formative and summative assessment tools for all subjects are identified to measure the performance of students.</w:t>
      </w:r>
    </w:p>
    <w:p w:rsidR="00F12C20" w:rsidRDefault="007251DF" w:rsidP="00BE780B">
      <w:pPr>
        <w:pStyle w:val="ListParagraph"/>
        <w:numPr>
          <w:ilvl w:val="0"/>
          <w:numId w:val="7"/>
        </w:numPr>
        <w:spacing w:line="360" w:lineRule="auto"/>
        <w:rPr>
          <w:rFonts w:ascii="Times New Roman" w:hAnsi="Times New Roman"/>
          <w:sz w:val="28"/>
        </w:rPr>
      </w:pPr>
      <w:r w:rsidRPr="00F12C20">
        <w:rPr>
          <w:rFonts w:ascii="Times New Roman" w:hAnsi="Times New Roman"/>
          <w:b/>
          <w:sz w:val="28"/>
        </w:rPr>
        <w:t>The assessment tools</w:t>
      </w:r>
      <w:r w:rsidRPr="00A92A81">
        <w:rPr>
          <w:rFonts w:ascii="Times New Roman" w:hAnsi="Times New Roman"/>
          <w:sz w:val="28"/>
        </w:rPr>
        <w:t xml:space="preserve"> used for evaluating students’ performance such as </w:t>
      </w:r>
      <w:proofErr w:type="gramStart"/>
      <w:r w:rsidR="001B5ECD" w:rsidRPr="00A92A81">
        <w:rPr>
          <w:rFonts w:ascii="Times New Roman" w:hAnsi="Times New Roman"/>
          <w:sz w:val="28"/>
        </w:rPr>
        <w:t>D</w:t>
      </w:r>
      <w:r w:rsidRPr="00A92A81">
        <w:rPr>
          <w:rFonts w:ascii="Times New Roman" w:hAnsi="Times New Roman"/>
          <w:sz w:val="28"/>
        </w:rPr>
        <w:t>irect</w:t>
      </w:r>
      <w:proofErr w:type="gramEnd"/>
      <w:r w:rsidRPr="00A92A81">
        <w:rPr>
          <w:rFonts w:ascii="Times New Roman" w:hAnsi="Times New Roman"/>
          <w:sz w:val="28"/>
        </w:rPr>
        <w:t xml:space="preserve"> assignment, </w:t>
      </w:r>
      <w:r w:rsidR="001B5ECD" w:rsidRPr="00A92A81">
        <w:rPr>
          <w:rFonts w:ascii="Times New Roman" w:hAnsi="Times New Roman"/>
          <w:sz w:val="28"/>
        </w:rPr>
        <w:t xml:space="preserve">Formative assignment, Internal assessment, Seminars, Viva-voce,   </w:t>
      </w:r>
      <w:r w:rsidRPr="00A92A81">
        <w:rPr>
          <w:rFonts w:ascii="Times New Roman" w:hAnsi="Times New Roman"/>
          <w:sz w:val="28"/>
        </w:rPr>
        <w:t xml:space="preserve">quizzes, and final assessment are regularly mapped into </w:t>
      </w:r>
      <w:proofErr w:type="spellStart"/>
      <w:r w:rsidRPr="00A92A81">
        <w:rPr>
          <w:rFonts w:ascii="Times New Roman" w:hAnsi="Times New Roman"/>
          <w:sz w:val="28"/>
        </w:rPr>
        <w:t>COs.</w:t>
      </w:r>
      <w:proofErr w:type="spellEnd"/>
      <w:r w:rsidRPr="00A92A81">
        <w:rPr>
          <w:rFonts w:ascii="Times New Roman" w:hAnsi="Times New Roman"/>
          <w:sz w:val="28"/>
        </w:rPr>
        <w:t xml:space="preserve"> We also track the student progression in each semester recording the pass, fail percentage and remediating slow learners by one to one learning and mentor-mentee systems. We emphasize extensively on formative assessment over summative assessment. It helps students to shape learning by metacognition and to improve their performance. </w:t>
      </w:r>
    </w:p>
    <w:p w:rsidR="007251DF" w:rsidRPr="00A92A81" w:rsidRDefault="007251DF" w:rsidP="00BE780B">
      <w:pPr>
        <w:pStyle w:val="ListParagraph"/>
        <w:numPr>
          <w:ilvl w:val="0"/>
          <w:numId w:val="7"/>
        </w:numPr>
        <w:spacing w:line="360" w:lineRule="auto"/>
        <w:rPr>
          <w:rFonts w:ascii="Times New Roman" w:hAnsi="Times New Roman"/>
          <w:sz w:val="28"/>
        </w:rPr>
      </w:pPr>
      <w:r w:rsidRPr="00A92A81">
        <w:rPr>
          <w:rFonts w:ascii="Times New Roman" w:hAnsi="Times New Roman"/>
          <w:sz w:val="28"/>
        </w:rPr>
        <w:t xml:space="preserve">The </w:t>
      </w:r>
      <w:r w:rsidR="001B5ECD" w:rsidRPr="00A92A81">
        <w:rPr>
          <w:rFonts w:ascii="Times New Roman" w:hAnsi="Times New Roman"/>
          <w:sz w:val="28"/>
        </w:rPr>
        <w:t>B</w:t>
      </w:r>
      <w:r w:rsidRPr="00A92A81">
        <w:rPr>
          <w:rFonts w:ascii="Times New Roman" w:hAnsi="Times New Roman"/>
          <w:sz w:val="28"/>
        </w:rPr>
        <w:t>oard of studies meeting identifies the attributes of every program and ensures refinement and reinforcement.</w:t>
      </w:r>
    </w:p>
    <w:p w:rsidR="001B5ECD" w:rsidRDefault="00BE780B" w:rsidP="00BE780B">
      <w:pPr>
        <w:pStyle w:val="ListParagraph"/>
        <w:numPr>
          <w:ilvl w:val="0"/>
          <w:numId w:val="7"/>
        </w:numPr>
        <w:spacing w:line="360" w:lineRule="auto"/>
        <w:rPr>
          <w:rFonts w:ascii="Times New Roman" w:hAnsi="Times New Roman"/>
          <w:sz w:val="28"/>
        </w:rPr>
      </w:pPr>
      <w:proofErr w:type="gramStart"/>
      <w:r>
        <w:rPr>
          <w:rFonts w:ascii="Times New Roman" w:hAnsi="Times New Roman"/>
          <w:sz w:val="28"/>
        </w:rPr>
        <w:t xml:space="preserve">Feedback </w:t>
      </w:r>
      <w:r w:rsidR="001B5ECD" w:rsidRPr="00F12C20">
        <w:rPr>
          <w:rFonts w:ascii="Times New Roman" w:hAnsi="Times New Roman"/>
          <w:sz w:val="28"/>
        </w:rPr>
        <w:t>are</w:t>
      </w:r>
      <w:proofErr w:type="gramEnd"/>
      <w:r w:rsidR="001B5ECD" w:rsidRPr="00F12C20">
        <w:rPr>
          <w:rFonts w:ascii="Times New Roman" w:hAnsi="Times New Roman"/>
          <w:sz w:val="28"/>
        </w:rPr>
        <w:t xml:space="preserve"> taken from Alumni, Health industries Expert, that provide inputs for the program outcomes.</w:t>
      </w:r>
    </w:p>
    <w:p w:rsidR="00F12C20" w:rsidRPr="00F12C20" w:rsidRDefault="00F12C20" w:rsidP="00BE780B">
      <w:pPr>
        <w:pStyle w:val="ListParagraph"/>
        <w:spacing w:line="360" w:lineRule="auto"/>
        <w:rPr>
          <w:rFonts w:ascii="Times New Roman" w:hAnsi="Times New Roman"/>
          <w:sz w:val="28"/>
        </w:rPr>
      </w:pPr>
    </w:p>
    <w:p w:rsidR="001B5ECD" w:rsidRPr="00F12C20" w:rsidRDefault="001B5ECD" w:rsidP="00BE780B">
      <w:pPr>
        <w:pStyle w:val="ListParagraph"/>
        <w:numPr>
          <w:ilvl w:val="0"/>
          <w:numId w:val="7"/>
        </w:numPr>
        <w:spacing w:line="360" w:lineRule="auto"/>
        <w:rPr>
          <w:rFonts w:ascii="Times New Roman" w:hAnsi="Times New Roman"/>
          <w:b/>
          <w:sz w:val="28"/>
        </w:rPr>
      </w:pPr>
      <w:r w:rsidRPr="00F12C20">
        <w:rPr>
          <w:rFonts w:ascii="Times New Roman" w:hAnsi="Times New Roman"/>
          <w:b/>
          <w:sz w:val="28"/>
        </w:rPr>
        <w:lastRenderedPageBreak/>
        <w:t xml:space="preserve">Publicizing program outcomes, program specific outcomes and course specific outcomes </w:t>
      </w:r>
    </w:p>
    <w:p w:rsidR="001B5ECD" w:rsidRPr="001B5ECD" w:rsidRDefault="001B5ECD" w:rsidP="00BE780B">
      <w:pPr>
        <w:spacing w:line="360" w:lineRule="auto"/>
        <w:ind w:left="720" w:firstLine="720"/>
        <w:rPr>
          <w:rFonts w:ascii="Times New Roman" w:hAnsi="Times New Roman" w:cs="Times New Roman"/>
          <w:sz w:val="28"/>
        </w:rPr>
      </w:pPr>
      <w:r w:rsidRPr="001B5ECD">
        <w:rPr>
          <w:rFonts w:ascii="Times New Roman" w:hAnsi="Times New Roman" w:cs="Times New Roman"/>
          <w:sz w:val="28"/>
        </w:rPr>
        <w:t>The learning outcomes, POs and PSOs of all the offered programmes are informed to students through course plans at the start of each semester and published in the institution website.</w:t>
      </w:r>
      <w:r w:rsidR="00BE780B">
        <w:rPr>
          <w:rFonts w:ascii="Times New Roman" w:hAnsi="Times New Roman" w:cs="Times New Roman"/>
          <w:sz w:val="28"/>
        </w:rPr>
        <w:t xml:space="preserve"> </w:t>
      </w:r>
      <w:r w:rsidRPr="001B5ECD">
        <w:rPr>
          <w:rFonts w:ascii="Times New Roman" w:hAnsi="Times New Roman" w:cs="Times New Roman"/>
          <w:sz w:val="28"/>
        </w:rPr>
        <w:t>They are displayed in the notice board of every department and other strategic locations. At the start of each course, the course handling staff member enlightens the students on the syllabus, POS, PSOs, COs, day wise lesson plan, evaluation plans through printed handbook/PPTs. Faculty orientation programmes and faculty development programs are periodically organised to expose the faculties to outcome based teaching learning process and innovative teaching methodologies</w:t>
      </w:r>
    </w:p>
    <w:p w:rsidR="001B5ECD" w:rsidRDefault="001B5ECD" w:rsidP="00BE780B">
      <w:pPr>
        <w:spacing w:line="360" w:lineRule="auto"/>
        <w:rPr>
          <w:rFonts w:ascii="Times New Roman" w:hAnsi="Times New Roman" w:cs="Times New Roman"/>
          <w:sz w:val="28"/>
        </w:rPr>
      </w:pPr>
    </w:p>
    <w:p w:rsidR="00E74BC7" w:rsidRDefault="00E74BC7" w:rsidP="007251DF">
      <w:pPr>
        <w:rPr>
          <w:rFonts w:ascii="Times New Roman" w:hAnsi="Times New Roman" w:cs="Times New Roman"/>
          <w:sz w:val="28"/>
        </w:rPr>
      </w:pPr>
    </w:p>
    <w:p w:rsidR="00BE780B" w:rsidRDefault="00BE780B">
      <w:pPr>
        <w:spacing w:after="0" w:line="240" w:lineRule="auto"/>
      </w:pPr>
      <w:r>
        <w:br w:type="page"/>
      </w:r>
    </w:p>
    <w:p w:rsidR="008C66A3" w:rsidRDefault="008C66A3" w:rsidP="00BE780B"/>
    <w:p w:rsidR="008C66A3" w:rsidRPr="00F02DA0" w:rsidRDefault="008C66A3" w:rsidP="008C66A3">
      <w:pPr>
        <w:ind w:left="195"/>
        <w:rPr>
          <w:rFonts w:ascii="Times New Roman" w:hAnsi="Times New Roman" w:cs="Times New Roman"/>
          <w:b/>
          <w:sz w:val="28"/>
        </w:rPr>
      </w:pPr>
      <w:r w:rsidRPr="008C66A3">
        <w:rPr>
          <w:rFonts w:ascii="Times New Roman" w:hAnsi="Times New Roman" w:cs="Times New Roman"/>
          <w:b/>
          <w:noProof/>
          <w:sz w:val="28"/>
        </w:rPr>
        <w:drawing>
          <wp:inline distT="0" distB="0" distL="0" distR="0">
            <wp:extent cx="2524125" cy="1371600"/>
            <wp:effectExtent l="19050" t="0" r="0" b="0"/>
            <wp:docPr id="1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52486" cy="1562581"/>
                      <a:chOff x="219919" y="960699"/>
                      <a:chExt cx="3252486" cy="1562581"/>
                    </a:xfrm>
                  </a:grpSpPr>
                  <a:sp>
                    <a:nvSpPr>
                      <a:cNvPr id="12" name="Right Arrow 11"/>
                      <a:cNvSpPr/>
                    </a:nvSpPr>
                    <a:spPr>
                      <a:xfrm>
                        <a:off x="219919" y="960699"/>
                        <a:ext cx="3252486" cy="1562581"/>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fontAlgn="base">
                            <a:spcBef>
                              <a:spcPct val="0"/>
                            </a:spcBef>
                            <a:spcAft>
                              <a:spcPct val="0"/>
                            </a:spcAft>
                          </a:pPr>
                          <a:r>
                            <a:rPr lang="en-US" b="1" dirty="0" smtClean="0">
                              <a:solidFill>
                                <a:schemeClr val="tx1"/>
                              </a:solidFill>
                              <a:latin typeface="Arial Black" pitchFamily="34" charset="0"/>
                              <a:cs typeface="Times New Roman" pitchFamily="18" charset="0"/>
                            </a:rPr>
                            <a:t>UGC, MCI, DCI, AICTE Regulations</a:t>
                          </a:r>
                          <a:endParaRPr lang="en-US" sz="2800" dirty="0" smtClean="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cs="Times New Roman"/>
          <w:b/>
          <w:sz w:val="28"/>
        </w:rPr>
        <w:t xml:space="preserve">          </w:t>
      </w:r>
      <w:r w:rsidRPr="008C66A3">
        <w:rPr>
          <w:rFonts w:ascii="Times New Roman" w:hAnsi="Times New Roman" w:cs="Times New Roman"/>
          <w:b/>
          <w:noProof/>
          <w:sz w:val="28"/>
        </w:rPr>
        <w:drawing>
          <wp:inline distT="0" distB="0" distL="0" distR="0">
            <wp:extent cx="2362200" cy="1266825"/>
            <wp:effectExtent l="19050" t="0" r="0" b="0"/>
            <wp:docPr id="2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4071" cy="1545690"/>
                      <a:chOff x="3676892" y="920187"/>
                      <a:chExt cx="2284071" cy="1545690"/>
                    </a:xfrm>
                  </a:grpSpPr>
                  <a:sp>
                    <a:nvSpPr>
                      <a:cNvPr id="28" name="Rounded Rectangle 27"/>
                      <a:cNvSpPr/>
                    </a:nvSpPr>
                    <a:spPr>
                      <a:xfrm>
                        <a:off x="3676892" y="920187"/>
                        <a:ext cx="2284071" cy="1545690"/>
                      </a:xfrm>
                      <a:prstGeom prst="roundRect">
                        <a:avLst/>
                      </a:prstGeom>
                      <a:solidFill>
                        <a:srgbClr val="DDD9FD"/>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fontAlgn="base">
                            <a:spcBef>
                              <a:spcPct val="0"/>
                            </a:spcBef>
                            <a:spcAft>
                              <a:spcPct val="0"/>
                            </a:spcAft>
                          </a:pPr>
                          <a:r>
                            <a:rPr lang="en-US" sz="1600" b="1" dirty="0" smtClean="0">
                              <a:solidFill>
                                <a:schemeClr val="tx1"/>
                              </a:solidFill>
                              <a:latin typeface="Arial Black" pitchFamily="34" charset="0"/>
                              <a:cs typeface="Times New Roman" pitchFamily="18" charset="0"/>
                            </a:rPr>
                            <a:t>Programme Outcome</a:t>
                          </a:r>
                        </a:p>
                        <a:p>
                          <a:pPr lvl="0" algn="ctr" fontAlgn="base">
                            <a:spcBef>
                              <a:spcPct val="0"/>
                            </a:spcBef>
                            <a:spcAft>
                              <a:spcPct val="0"/>
                            </a:spcAft>
                          </a:pPr>
                          <a:r>
                            <a:rPr lang="en-US" sz="1600" b="1" dirty="0" smtClean="0">
                              <a:solidFill>
                                <a:schemeClr val="tx1"/>
                              </a:solidFill>
                              <a:latin typeface="Arial Black" pitchFamily="34" charset="0"/>
                              <a:cs typeface="Times New Roman" pitchFamily="18" charset="0"/>
                            </a:rPr>
                            <a:t>(PO)</a:t>
                          </a:r>
                          <a:endParaRPr lang="en-US" sz="2400" dirty="0" smtClean="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cs="Times New Roman"/>
          <w:b/>
          <w:sz w:val="28"/>
        </w:rPr>
        <w:t xml:space="preserve">                  </w:t>
      </w:r>
      <w:r w:rsidRPr="008C66A3">
        <w:rPr>
          <w:rFonts w:ascii="Times New Roman" w:hAnsi="Times New Roman" w:cs="Times New Roman"/>
          <w:b/>
          <w:sz w:val="28"/>
        </w:rPr>
        <w:t xml:space="preserve"> </w:t>
      </w:r>
      <w:r>
        <w:rPr>
          <w:rFonts w:ascii="Times New Roman" w:hAnsi="Times New Roman" w:cs="Times New Roman"/>
          <w:b/>
          <w:sz w:val="28"/>
        </w:rPr>
        <w:t xml:space="preserve">                                                                                                          </w:t>
      </w:r>
    </w:p>
    <w:p w:rsidR="008C66A3" w:rsidRPr="00F02DA0" w:rsidRDefault="008C66A3" w:rsidP="008C66A3">
      <w:pPr>
        <w:ind w:left="195"/>
        <w:rPr>
          <w:rFonts w:ascii="Times New Roman" w:hAnsi="Times New Roman" w:cs="Times New Roman"/>
          <w:b/>
          <w:sz w:val="28"/>
        </w:rPr>
      </w:pPr>
      <w:r>
        <w:rPr>
          <w:rFonts w:ascii="Times New Roman" w:hAnsi="Times New Roman" w:cs="Times New Roman"/>
          <w:b/>
          <w:sz w:val="28"/>
        </w:rPr>
        <w:t xml:space="preserve">                                                                 </w:t>
      </w:r>
      <w:r w:rsidRPr="008C66A3">
        <w:rPr>
          <w:rFonts w:ascii="Times New Roman" w:hAnsi="Times New Roman" w:cs="Times New Roman"/>
          <w:b/>
          <w:sz w:val="28"/>
        </w:rPr>
        <w:t xml:space="preserve"> </w:t>
      </w:r>
      <w:r>
        <w:rPr>
          <w:rFonts w:ascii="Times New Roman" w:hAnsi="Times New Roman" w:cs="Times New Roman"/>
          <w:b/>
          <w:sz w:val="28"/>
        </w:rPr>
        <w:t xml:space="preserve">                                                                                                          </w:t>
      </w:r>
    </w:p>
    <w:p w:rsidR="008C66A3" w:rsidRDefault="008F2BC9" w:rsidP="008C66A3">
      <w:pPr>
        <w:ind w:left="195"/>
        <w:rPr>
          <w:rFonts w:ascii="Times New Roman" w:hAnsi="Times New Roman" w:cs="Times New Roman"/>
          <w:b/>
          <w:sz w:val="28"/>
        </w:rPr>
      </w:pPr>
      <w:r w:rsidRPr="008F2BC9">
        <w:rPr>
          <w:noProof/>
        </w:rPr>
        <w:drawing>
          <wp:inline distT="0" distB="0" distL="0" distR="0">
            <wp:extent cx="2686050" cy="1724025"/>
            <wp:effectExtent l="19050" t="0" r="0" b="0"/>
            <wp:docPr id="3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52486" cy="1851950"/>
                      <a:chOff x="244997" y="2615879"/>
                      <a:chExt cx="3252486" cy="1851950"/>
                    </a:xfrm>
                  </a:grpSpPr>
                  <a:sp>
                    <a:nvSpPr>
                      <a:cNvPr id="13" name="Right Arrow 12"/>
                      <a:cNvSpPr/>
                    </a:nvSpPr>
                    <a:spPr>
                      <a:xfrm>
                        <a:off x="244997" y="2615879"/>
                        <a:ext cx="3252486" cy="185195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fontAlgn="base">
                            <a:spcBef>
                              <a:spcPct val="0"/>
                            </a:spcBef>
                            <a:spcAft>
                              <a:spcPct val="0"/>
                            </a:spcAft>
                          </a:pPr>
                          <a:endParaRPr lang="en-US" sz="1200" b="1" dirty="0" smtClean="0">
                            <a:solidFill>
                              <a:schemeClr val="tx1"/>
                            </a:solidFill>
                            <a:latin typeface="Arial Black" pitchFamily="34" charset="0"/>
                            <a:cs typeface="Times New Roman" pitchFamily="18" charset="0"/>
                          </a:endParaRPr>
                        </a:p>
                        <a:p>
                          <a:pPr lvl="0" algn="ctr" fontAlgn="base">
                            <a:spcBef>
                              <a:spcPct val="0"/>
                            </a:spcBef>
                            <a:spcAft>
                              <a:spcPct val="0"/>
                            </a:spcAft>
                          </a:pPr>
                          <a:r>
                            <a:rPr lang="en-US" sz="1400" b="1" dirty="0" smtClean="0">
                              <a:solidFill>
                                <a:schemeClr val="tx1"/>
                              </a:solidFill>
                              <a:latin typeface="Arial Black" pitchFamily="34" charset="0"/>
                              <a:cs typeface="Times New Roman" pitchFamily="18" charset="0"/>
                            </a:rPr>
                            <a:t>Designed by Curriculum Development Cell(CDC)</a:t>
                          </a:r>
                        </a:p>
                        <a:p>
                          <a:pPr lvl="0" algn="ctr" fontAlgn="base">
                            <a:spcBef>
                              <a:spcPct val="0"/>
                            </a:spcBef>
                            <a:spcAft>
                              <a:spcPct val="0"/>
                            </a:spcAft>
                          </a:pPr>
                          <a:r>
                            <a:rPr lang="en-US" sz="1400" b="1" dirty="0" smtClean="0">
                              <a:solidFill>
                                <a:schemeClr val="tx1"/>
                              </a:solidFill>
                              <a:latin typeface="Arial Black" pitchFamily="34" charset="0"/>
                              <a:cs typeface="Times New Roman" pitchFamily="18" charset="0"/>
                            </a:rPr>
                            <a:t>Approved by Board of Studies (BOS)</a:t>
                          </a:r>
                        </a:p>
                        <a:p>
                          <a:pPr lvl="0" algn="ctr" fontAlgn="base">
                            <a:spcBef>
                              <a:spcPct val="0"/>
                            </a:spcBef>
                            <a:spcAft>
                              <a:spcPct val="0"/>
                            </a:spcAft>
                          </a:pPr>
                          <a:r>
                            <a:rPr lang="en-US" sz="1200" b="1" dirty="0" smtClean="0">
                              <a:solidFill>
                                <a:schemeClr val="tx1"/>
                              </a:solidFill>
                              <a:latin typeface="Arial Black" pitchFamily="34" charset="0"/>
                              <a:cs typeface="Times New Roman" pitchFamily="18" charset="0"/>
                            </a:rPr>
                            <a:t> </a:t>
                          </a:r>
                          <a:endParaRPr lang="en-US" sz="1200" dirty="0" smtClean="0">
                            <a:solidFill>
                              <a:schemeClr val="tx1"/>
                            </a:solidFill>
                            <a:latin typeface="Arial Black" pitchFamily="34"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8C66A3" w:rsidRPr="008C66A3">
        <w:rPr>
          <w:noProof/>
        </w:rPr>
        <w:t xml:space="preserve"> </w:t>
      </w:r>
      <w:r>
        <w:rPr>
          <w:rFonts w:ascii="Times New Roman" w:hAnsi="Times New Roman" w:cs="Times New Roman"/>
          <w:b/>
          <w:sz w:val="28"/>
        </w:rPr>
        <w:t xml:space="preserve">     </w:t>
      </w:r>
      <w:r w:rsidR="008C66A3" w:rsidRPr="008C66A3">
        <w:rPr>
          <w:rFonts w:ascii="Times New Roman" w:hAnsi="Times New Roman" w:cs="Times New Roman"/>
          <w:b/>
          <w:noProof/>
          <w:sz w:val="28"/>
        </w:rPr>
        <w:drawing>
          <wp:inline distT="0" distB="0" distL="0" distR="0">
            <wp:extent cx="2457450" cy="1495425"/>
            <wp:effectExtent l="19050" t="0" r="0" b="0"/>
            <wp:docPr id="3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38086" cy="1448765"/>
                      <a:chOff x="3999053" y="2723908"/>
                      <a:chExt cx="2338086" cy="1448765"/>
                    </a:xfrm>
                  </a:grpSpPr>
                  <a:sp>
                    <a:nvSpPr>
                      <a:cNvPr id="20" name="Rounded Rectangle 19"/>
                      <a:cNvSpPr/>
                    </a:nvSpPr>
                    <a:spPr>
                      <a:xfrm>
                        <a:off x="3999053" y="2723908"/>
                        <a:ext cx="2338086" cy="1448765"/>
                      </a:xfrm>
                      <a:prstGeom prst="roundRect">
                        <a:avLst/>
                      </a:prstGeom>
                      <a:solidFill>
                        <a:srgbClr val="DDF4F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fontAlgn="base">
                            <a:spcBef>
                              <a:spcPct val="0"/>
                            </a:spcBef>
                            <a:spcAft>
                              <a:spcPct val="0"/>
                            </a:spcAft>
                          </a:pPr>
                          <a:r>
                            <a:rPr lang="en-US" sz="1600" b="1" dirty="0" smtClean="0">
                              <a:solidFill>
                                <a:schemeClr val="tx1"/>
                              </a:solidFill>
                              <a:latin typeface="Arial Black" pitchFamily="34" charset="0"/>
                              <a:cs typeface="Times New Roman" pitchFamily="18" charset="0"/>
                            </a:rPr>
                            <a:t>Programme </a:t>
                          </a:r>
                          <a:r>
                            <a:rPr lang="en-US" sz="1600" b="1" dirty="0" smtClean="0">
                              <a:solidFill>
                                <a:schemeClr val="tx1"/>
                              </a:solidFill>
                              <a:latin typeface="Arial Black" pitchFamily="34" charset="0"/>
                              <a:cs typeface="Times New Roman" pitchFamily="18" charset="0"/>
                            </a:rPr>
                            <a:t>Specific Outcome</a:t>
                          </a:r>
                        </a:p>
                        <a:p>
                          <a:pPr lvl="0" algn="ctr" fontAlgn="base">
                            <a:spcBef>
                              <a:spcPct val="0"/>
                            </a:spcBef>
                            <a:spcAft>
                              <a:spcPct val="0"/>
                            </a:spcAft>
                          </a:pPr>
                          <a:r>
                            <a:rPr lang="en-US" sz="1600" b="1" dirty="0" smtClean="0">
                              <a:solidFill>
                                <a:schemeClr val="tx1"/>
                              </a:solidFill>
                              <a:latin typeface="Arial Black" pitchFamily="34" charset="0"/>
                              <a:cs typeface="Times New Roman" pitchFamily="18" charset="0"/>
                            </a:rPr>
                            <a:t>(PSO)</a:t>
                          </a:r>
                          <a:endParaRPr lang="en-US" sz="2400" dirty="0" smtClean="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F2BC9" w:rsidRDefault="008F2BC9" w:rsidP="008C66A3">
      <w:pPr>
        <w:ind w:left="195"/>
        <w:rPr>
          <w:rFonts w:ascii="Times New Roman" w:hAnsi="Times New Roman" w:cs="Times New Roman"/>
          <w:b/>
          <w:sz w:val="28"/>
        </w:rPr>
      </w:pPr>
    </w:p>
    <w:p w:rsidR="008F2BC9" w:rsidRDefault="008F2BC9" w:rsidP="008C66A3">
      <w:pPr>
        <w:ind w:left="195"/>
        <w:rPr>
          <w:rFonts w:ascii="Times New Roman" w:hAnsi="Times New Roman" w:cs="Times New Roman"/>
          <w:b/>
          <w:sz w:val="28"/>
        </w:rPr>
      </w:pPr>
      <w:r>
        <w:rPr>
          <w:rFonts w:ascii="Times New Roman" w:hAnsi="Times New Roman" w:cs="Times New Roman"/>
          <w:b/>
          <w:sz w:val="28"/>
        </w:rPr>
        <w:t xml:space="preserve">     </w:t>
      </w:r>
      <w:r w:rsidRPr="008F2BC9">
        <w:rPr>
          <w:rFonts w:ascii="Times New Roman" w:hAnsi="Times New Roman" w:cs="Times New Roman"/>
          <w:b/>
          <w:noProof/>
          <w:sz w:val="28"/>
        </w:rPr>
        <w:drawing>
          <wp:inline distT="0" distB="0" distL="0" distR="0">
            <wp:extent cx="2466975" cy="1666875"/>
            <wp:effectExtent l="19050" t="0" r="0" b="0"/>
            <wp:docPr id="39"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52486" cy="1668683"/>
                      <a:chOff x="256572" y="4664597"/>
                      <a:chExt cx="3252486" cy="1668683"/>
                    </a:xfrm>
                  </a:grpSpPr>
                  <a:sp>
                    <a:nvSpPr>
                      <a:cNvPr id="14" name="Right Arrow 13"/>
                      <a:cNvSpPr/>
                    </a:nvSpPr>
                    <a:spPr>
                      <a:xfrm>
                        <a:off x="256572" y="4664597"/>
                        <a:ext cx="3252486" cy="1668683"/>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base">
                            <a:spcBef>
                              <a:spcPct val="0"/>
                            </a:spcBef>
                            <a:spcAft>
                              <a:spcPct val="0"/>
                            </a:spcAft>
                          </a:pPr>
                          <a:r>
                            <a:rPr lang="en-US" sz="1400" b="1" dirty="0" smtClean="0">
                              <a:solidFill>
                                <a:schemeClr val="tx1"/>
                              </a:solidFill>
                              <a:latin typeface="Arial Black" pitchFamily="34" charset="0"/>
                              <a:cs typeface="Times New Roman" pitchFamily="18" charset="0"/>
                            </a:rPr>
                            <a:t>Formulated </a:t>
                          </a:r>
                          <a:r>
                            <a:rPr lang="en-US" sz="1400" b="1" dirty="0" smtClean="0">
                              <a:solidFill>
                                <a:schemeClr val="tx1"/>
                              </a:solidFill>
                              <a:latin typeface="Arial Black" pitchFamily="34" charset="0"/>
                              <a:cs typeface="Times New Roman" pitchFamily="18" charset="0"/>
                            </a:rPr>
                            <a:t>by the </a:t>
                          </a:r>
                          <a:r>
                            <a:rPr lang="en-US" sz="1400" b="1" dirty="0" smtClean="0">
                              <a:solidFill>
                                <a:schemeClr val="tx1"/>
                              </a:solidFill>
                              <a:latin typeface="Arial Black" pitchFamily="34" charset="0"/>
                              <a:cs typeface="Times New Roman" pitchFamily="18" charset="0"/>
                            </a:rPr>
                            <a:t>Faculty Team </a:t>
                          </a:r>
                          <a:r>
                            <a:rPr lang="en-US" sz="1400" b="1" dirty="0" smtClean="0">
                              <a:solidFill>
                                <a:schemeClr val="tx1"/>
                              </a:solidFill>
                              <a:latin typeface="Arial Black" pitchFamily="34" charset="0"/>
                              <a:cs typeface="Times New Roman" pitchFamily="18" charset="0"/>
                            </a:rPr>
                            <a:t>handling the respective course</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cs="Times New Roman"/>
          <w:b/>
          <w:sz w:val="28"/>
        </w:rPr>
        <w:t xml:space="preserve">          </w:t>
      </w:r>
      <w:r w:rsidRPr="008F2BC9">
        <w:rPr>
          <w:rFonts w:ascii="Times New Roman" w:hAnsi="Times New Roman" w:cs="Times New Roman"/>
          <w:b/>
          <w:noProof/>
          <w:sz w:val="28"/>
        </w:rPr>
        <w:drawing>
          <wp:inline distT="0" distB="0" distL="0" distR="0">
            <wp:extent cx="2338086" cy="1448765"/>
            <wp:effectExtent l="19050" t="0" r="5064" b="0"/>
            <wp:docPr id="40"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38086" cy="1448765"/>
                      <a:chOff x="3711614" y="4878727"/>
                      <a:chExt cx="2338086" cy="1448765"/>
                    </a:xfrm>
                  </a:grpSpPr>
                  <a:sp>
                    <a:nvSpPr>
                      <a:cNvPr id="27" name="Rounded Rectangle 26"/>
                      <a:cNvSpPr/>
                    </a:nvSpPr>
                    <a:spPr>
                      <a:xfrm>
                        <a:off x="3711614" y="4878727"/>
                        <a:ext cx="2338086" cy="1448765"/>
                      </a:xfrm>
                      <a:prstGeom prst="roundRect">
                        <a:avLst/>
                      </a:prstGeom>
                      <a:solidFill>
                        <a:srgbClr val="FDD7D8"/>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fontAlgn="base">
                            <a:spcBef>
                              <a:spcPct val="0"/>
                            </a:spcBef>
                            <a:spcAft>
                              <a:spcPct val="0"/>
                            </a:spcAft>
                          </a:pPr>
                          <a:r>
                            <a:rPr lang="en-US" sz="1600" b="1" dirty="0" smtClean="0">
                              <a:solidFill>
                                <a:schemeClr val="tx1"/>
                              </a:solidFill>
                              <a:latin typeface="Arial Black" pitchFamily="34" charset="0"/>
                              <a:cs typeface="Times New Roman" pitchFamily="18" charset="0"/>
                            </a:rPr>
                            <a:t>Course Outcome</a:t>
                          </a:r>
                        </a:p>
                        <a:p>
                          <a:pPr lvl="0" algn="ctr" fontAlgn="base">
                            <a:spcBef>
                              <a:spcPct val="0"/>
                            </a:spcBef>
                            <a:spcAft>
                              <a:spcPct val="0"/>
                            </a:spcAft>
                          </a:pPr>
                          <a:r>
                            <a:rPr lang="en-US" sz="1600" b="1" dirty="0" smtClean="0">
                              <a:solidFill>
                                <a:schemeClr val="tx1"/>
                              </a:solidFill>
                              <a:latin typeface="Arial Black" pitchFamily="34" charset="0"/>
                              <a:cs typeface="Times New Roman" pitchFamily="18" charset="0"/>
                            </a:rPr>
                            <a:t>(CO)</a:t>
                          </a:r>
                          <a:endParaRPr lang="en-US" sz="2400" dirty="0" smtClean="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Times New Roman" w:hAnsi="Times New Roman" w:cs="Times New Roman"/>
          <w:b/>
          <w:sz w:val="28"/>
        </w:rPr>
        <w:t xml:space="preserve">  </w:t>
      </w:r>
    </w:p>
    <w:p w:rsidR="008F2BC9" w:rsidRDefault="008F2BC9" w:rsidP="008C66A3">
      <w:pPr>
        <w:ind w:left="195"/>
        <w:rPr>
          <w:rFonts w:ascii="Times New Roman" w:hAnsi="Times New Roman" w:cs="Times New Roman"/>
          <w:b/>
          <w:sz w:val="28"/>
        </w:rPr>
      </w:pPr>
      <w:r>
        <w:rPr>
          <w:rFonts w:ascii="Times New Roman" w:hAnsi="Times New Roman" w:cs="Times New Roman"/>
          <w:b/>
          <w:sz w:val="28"/>
        </w:rPr>
        <w:t xml:space="preserve">                 </w:t>
      </w:r>
    </w:p>
    <w:p w:rsidR="008F2BC9" w:rsidRPr="00F02DA0" w:rsidRDefault="008F2BC9" w:rsidP="008C66A3">
      <w:pPr>
        <w:ind w:left="195"/>
        <w:rPr>
          <w:rFonts w:ascii="Times New Roman" w:hAnsi="Times New Roman" w:cs="Times New Roman"/>
          <w:b/>
          <w:sz w:val="28"/>
        </w:rPr>
      </w:pPr>
      <w:r>
        <w:rPr>
          <w:rFonts w:ascii="Times New Roman" w:hAnsi="Times New Roman" w:cs="Times New Roman"/>
          <w:b/>
          <w:sz w:val="28"/>
        </w:rPr>
        <w:t xml:space="preserve">                                                                      </w:t>
      </w:r>
      <w:r w:rsidRPr="008F2BC9">
        <w:rPr>
          <w:rFonts w:ascii="Times New Roman" w:hAnsi="Times New Roman" w:cs="Times New Roman"/>
          <w:b/>
          <w:noProof/>
          <w:sz w:val="28"/>
        </w:rPr>
        <w:drawing>
          <wp:inline distT="0" distB="0" distL="0" distR="0">
            <wp:extent cx="2338086" cy="1448765"/>
            <wp:effectExtent l="19050" t="0" r="5064" b="0"/>
            <wp:docPr id="42"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38086" cy="1448765"/>
                      <a:chOff x="3864014" y="5031127"/>
                      <a:chExt cx="2338086" cy="1448765"/>
                    </a:xfrm>
                  </a:grpSpPr>
                  <a:sp>
                    <a:nvSpPr>
                      <a:cNvPr id="17" name="Rounded Rectangle 16"/>
                      <a:cNvSpPr/>
                    </a:nvSpPr>
                    <a:spPr>
                      <a:xfrm>
                        <a:off x="3864014" y="5031127"/>
                        <a:ext cx="2338086" cy="1448765"/>
                      </a:xfrm>
                      <a:prstGeom prst="roundRect">
                        <a:avLst/>
                      </a:prstGeom>
                      <a:solidFill>
                        <a:srgbClr val="FDD7D8"/>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base">
                            <a:spcBef>
                              <a:spcPct val="0"/>
                            </a:spcBef>
                            <a:spcAft>
                              <a:spcPct val="0"/>
                            </a:spcAft>
                          </a:pPr>
                          <a:r>
                            <a:rPr lang="en-US" sz="1600" b="1" dirty="0" smtClean="0">
                              <a:solidFill>
                                <a:schemeClr val="tx1"/>
                              </a:solidFill>
                              <a:latin typeface="Arial Black" pitchFamily="34" charset="0"/>
                              <a:cs typeface="Times New Roman" pitchFamily="18" charset="0"/>
                            </a:rPr>
                            <a:t>Course-Specific Learning Outcomes (SLO) or </a:t>
                          </a:r>
                          <a:r>
                            <a:rPr lang="en-US" sz="1600" b="1" dirty="0" smtClean="0">
                              <a:solidFill>
                                <a:schemeClr val="tx1"/>
                              </a:solidFill>
                              <a:latin typeface="Arial Black" pitchFamily="34" charset="0"/>
                              <a:cs typeface="Times New Roman" pitchFamily="18" charset="0"/>
                            </a:rPr>
                            <a:t>Competencies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sectPr w:rsidR="008F2BC9" w:rsidRPr="00F02DA0" w:rsidSect="008F2BC9">
      <w:pgSz w:w="12240" w:h="15840"/>
      <w:pgMar w:top="709" w:right="900" w:bottom="1440"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ourier New"/>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57F2"/>
    <w:multiLevelType w:val="hybridMultilevel"/>
    <w:tmpl w:val="6608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97DEC"/>
    <w:multiLevelType w:val="hybridMultilevel"/>
    <w:tmpl w:val="2710FC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D556B"/>
    <w:multiLevelType w:val="hybridMultilevel"/>
    <w:tmpl w:val="B040FD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F66ECF"/>
    <w:multiLevelType w:val="hybridMultilevel"/>
    <w:tmpl w:val="88FA7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958E7"/>
    <w:multiLevelType w:val="hybridMultilevel"/>
    <w:tmpl w:val="C93C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A81C57"/>
    <w:multiLevelType w:val="hybridMultilevel"/>
    <w:tmpl w:val="9BAA4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9F44DDD"/>
    <w:multiLevelType w:val="hybridMultilevel"/>
    <w:tmpl w:val="C968525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1"/>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compat/>
  <w:rsids>
    <w:rsidRoot w:val="00903DFA"/>
    <w:rsid w:val="00011252"/>
    <w:rsid w:val="00012067"/>
    <w:rsid w:val="00012DB0"/>
    <w:rsid w:val="00017CBC"/>
    <w:rsid w:val="000252B3"/>
    <w:rsid w:val="00030302"/>
    <w:rsid w:val="0003257C"/>
    <w:rsid w:val="00043413"/>
    <w:rsid w:val="00045A5D"/>
    <w:rsid w:val="00050C9C"/>
    <w:rsid w:val="0007027D"/>
    <w:rsid w:val="000802C3"/>
    <w:rsid w:val="00086E83"/>
    <w:rsid w:val="00094146"/>
    <w:rsid w:val="000A5F44"/>
    <w:rsid w:val="000D1A9C"/>
    <w:rsid w:val="000E2BB7"/>
    <w:rsid w:val="00101737"/>
    <w:rsid w:val="001063EF"/>
    <w:rsid w:val="00120B0F"/>
    <w:rsid w:val="00121ECA"/>
    <w:rsid w:val="001232BF"/>
    <w:rsid w:val="00130CC2"/>
    <w:rsid w:val="0013616F"/>
    <w:rsid w:val="00170E98"/>
    <w:rsid w:val="001913B2"/>
    <w:rsid w:val="001A3956"/>
    <w:rsid w:val="001B36A2"/>
    <w:rsid w:val="001B5ECD"/>
    <w:rsid w:val="001D3D3A"/>
    <w:rsid w:val="001D750C"/>
    <w:rsid w:val="001E0726"/>
    <w:rsid w:val="001F3A3B"/>
    <w:rsid w:val="00203DD6"/>
    <w:rsid w:val="00207300"/>
    <w:rsid w:val="00211C23"/>
    <w:rsid w:val="002220B9"/>
    <w:rsid w:val="002220D1"/>
    <w:rsid w:val="0022419E"/>
    <w:rsid w:val="00235043"/>
    <w:rsid w:val="00256845"/>
    <w:rsid w:val="0027491F"/>
    <w:rsid w:val="00274FD1"/>
    <w:rsid w:val="0028134F"/>
    <w:rsid w:val="00293954"/>
    <w:rsid w:val="002B0095"/>
    <w:rsid w:val="002B1B0F"/>
    <w:rsid w:val="002C09B2"/>
    <w:rsid w:val="002C21FF"/>
    <w:rsid w:val="002C609F"/>
    <w:rsid w:val="002D1F08"/>
    <w:rsid w:val="002F5A30"/>
    <w:rsid w:val="002F66CF"/>
    <w:rsid w:val="00304BEA"/>
    <w:rsid w:val="003146FE"/>
    <w:rsid w:val="0035490A"/>
    <w:rsid w:val="00362AD9"/>
    <w:rsid w:val="00373E6F"/>
    <w:rsid w:val="003761FE"/>
    <w:rsid w:val="00385F8D"/>
    <w:rsid w:val="003A1941"/>
    <w:rsid w:val="003C2914"/>
    <w:rsid w:val="003D4027"/>
    <w:rsid w:val="003D7D4A"/>
    <w:rsid w:val="003E7A9B"/>
    <w:rsid w:val="003F2737"/>
    <w:rsid w:val="00410C07"/>
    <w:rsid w:val="004265EE"/>
    <w:rsid w:val="00430230"/>
    <w:rsid w:val="004359E8"/>
    <w:rsid w:val="00455650"/>
    <w:rsid w:val="004562BB"/>
    <w:rsid w:val="00462813"/>
    <w:rsid w:val="00471F04"/>
    <w:rsid w:val="00486F45"/>
    <w:rsid w:val="00494EE4"/>
    <w:rsid w:val="004E13A6"/>
    <w:rsid w:val="00503C4E"/>
    <w:rsid w:val="00506DF8"/>
    <w:rsid w:val="00534E18"/>
    <w:rsid w:val="00536955"/>
    <w:rsid w:val="00540B28"/>
    <w:rsid w:val="005439AC"/>
    <w:rsid w:val="0055586E"/>
    <w:rsid w:val="0056274E"/>
    <w:rsid w:val="0056370D"/>
    <w:rsid w:val="00583A4F"/>
    <w:rsid w:val="00590752"/>
    <w:rsid w:val="005967DE"/>
    <w:rsid w:val="005968E7"/>
    <w:rsid w:val="005A51B6"/>
    <w:rsid w:val="005B381C"/>
    <w:rsid w:val="005B566C"/>
    <w:rsid w:val="005B7CA2"/>
    <w:rsid w:val="005C7777"/>
    <w:rsid w:val="005D01DB"/>
    <w:rsid w:val="005E2298"/>
    <w:rsid w:val="005F31C4"/>
    <w:rsid w:val="006003B7"/>
    <w:rsid w:val="0060044D"/>
    <w:rsid w:val="00600AD7"/>
    <w:rsid w:val="0061171B"/>
    <w:rsid w:val="00613A4F"/>
    <w:rsid w:val="006157BC"/>
    <w:rsid w:val="00624CA1"/>
    <w:rsid w:val="006378A4"/>
    <w:rsid w:val="00644885"/>
    <w:rsid w:val="00664671"/>
    <w:rsid w:val="006654EB"/>
    <w:rsid w:val="00667F39"/>
    <w:rsid w:val="006719E5"/>
    <w:rsid w:val="0068164C"/>
    <w:rsid w:val="006A4C9A"/>
    <w:rsid w:val="006C0713"/>
    <w:rsid w:val="006C546B"/>
    <w:rsid w:val="006D2451"/>
    <w:rsid w:val="006D6183"/>
    <w:rsid w:val="006E6233"/>
    <w:rsid w:val="006E683B"/>
    <w:rsid w:val="006F2A48"/>
    <w:rsid w:val="007116BB"/>
    <w:rsid w:val="007221A5"/>
    <w:rsid w:val="00723FC1"/>
    <w:rsid w:val="007251DF"/>
    <w:rsid w:val="007304C4"/>
    <w:rsid w:val="007342F1"/>
    <w:rsid w:val="00734555"/>
    <w:rsid w:val="00737D5C"/>
    <w:rsid w:val="00740381"/>
    <w:rsid w:val="007415D1"/>
    <w:rsid w:val="007440E6"/>
    <w:rsid w:val="00751D05"/>
    <w:rsid w:val="00757B27"/>
    <w:rsid w:val="0076069C"/>
    <w:rsid w:val="007632AF"/>
    <w:rsid w:val="0076597D"/>
    <w:rsid w:val="007811C8"/>
    <w:rsid w:val="00784DB5"/>
    <w:rsid w:val="007A22C6"/>
    <w:rsid w:val="007B3FE3"/>
    <w:rsid w:val="007C5B26"/>
    <w:rsid w:val="007D5F29"/>
    <w:rsid w:val="007E275A"/>
    <w:rsid w:val="007F4330"/>
    <w:rsid w:val="0083625A"/>
    <w:rsid w:val="008661B7"/>
    <w:rsid w:val="00866576"/>
    <w:rsid w:val="0087400E"/>
    <w:rsid w:val="00877A0B"/>
    <w:rsid w:val="008A0332"/>
    <w:rsid w:val="008A3AAD"/>
    <w:rsid w:val="008B7A2C"/>
    <w:rsid w:val="008C060D"/>
    <w:rsid w:val="008C66A3"/>
    <w:rsid w:val="008D04F6"/>
    <w:rsid w:val="008F2BC9"/>
    <w:rsid w:val="008F391E"/>
    <w:rsid w:val="00903DFA"/>
    <w:rsid w:val="00905030"/>
    <w:rsid w:val="00905B3F"/>
    <w:rsid w:val="00925D0B"/>
    <w:rsid w:val="00943C31"/>
    <w:rsid w:val="00950283"/>
    <w:rsid w:val="00950428"/>
    <w:rsid w:val="00955F5C"/>
    <w:rsid w:val="00957139"/>
    <w:rsid w:val="0096092D"/>
    <w:rsid w:val="009771BD"/>
    <w:rsid w:val="009A1AA6"/>
    <w:rsid w:val="009B4CEB"/>
    <w:rsid w:val="009C6CE5"/>
    <w:rsid w:val="009D4C17"/>
    <w:rsid w:val="009D5B29"/>
    <w:rsid w:val="009F4206"/>
    <w:rsid w:val="00A01EA3"/>
    <w:rsid w:val="00A049B2"/>
    <w:rsid w:val="00A107D8"/>
    <w:rsid w:val="00A11003"/>
    <w:rsid w:val="00A21853"/>
    <w:rsid w:val="00A301FC"/>
    <w:rsid w:val="00A31CBA"/>
    <w:rsid w:val="00A32740"/>
    <w:rsid w:val="00A433CF"/>
    <w:rsid w:val="00A54DF2"/>
    <w:rsid w:val="00A66059"/>
    <w:rsid w:val="00A75498"/>
    <w:rsid w:val="00A85A03"/>
    <w:rsid w:val="00A92A81"/>
    <w:rsid w:val="00A92D2D"/>
    <w:rsid w:val="00AA0443"/>
    <w:rsid w:val="00AA19E4"/>
    <w:rsid w:val="00AA4C8A"/>
    <w:rsid w:val="00AC28E5"/>
    <w:rsid w:val="00AD34BF"/>
    <w:rsid w:val="00AD7E50"/>
    <w:rsid w:val="00AE7245"/>
    <w:rsid w:val="00B0191E"/>
    <w:rsid w:val="00B023F1"/>
    <w:rsid w:val="00B02CCC"/>
    <w:rsid w:val="00B1001D"/>
    <w:rsid w:val="00B178AE"/>
    <w:rsid w:val="00B27B56"/>
    <w:rsid w:val="00B355D5"/>
    <w:rsid w:val="00B36B30"/>
    <w:rsid w:val="00B406AF"/>
    <w:rsid w:val="00B435D7"/>
    <w:rsid w:val="00B447B1"/>
    <w:rsid w:val="00B53653"/>
    <w:rsid w:val="00B55804"/>
    <w:rsid w:val="00B7472F"/>
    <w:rsid w:val="00B82089"/>
    <w:rsid w:val="00B832C4"/>
    <w:rsid w:val="00B93708"/>
    <w:rsid w:val="00BB64C8"/>
    <w:rsid w:val="00BD0D32"/>
    <w:rsid w:val="00BD31C9"/>
    <w:rsid w:val="00BE2F99"/>
    <w:rsid w:val="00BE44F8"/>
    <w:rsid w:val="00BE496A"/>
    <w:rsid w:val="00BE780B"/>
    <w:rsid w:val="00BF5AFE"/>
    <w:rsid w:val="00C06DDB"/>
    <w:rsid w:val="00C1005A"/>
    <w:rsid w:val="00C16004"/>
    <w:rsid w:val="00C4113E"/>
    <w:rsid w:val="00C62242"/>
    <w:rsid w:val="00C76C6D"/>
    <w:rsid w:val="00CB1042"/>
    <w:rsid w:val="00CC148D"/>
    <w:rsid w:val="00CD755D"/>
    <w:rsid w:val="00CE7026"/>
    <w:rsid w:val="00CF25D0"/>
    <w:rsid w:val="00D051EA"/>
    <w:rsid w:val="00D10860"/>
    <w:rsid w:val="00D123CA"/>
    <w:rsid w:val="00D16488"/>
    <w:rsid w:val="00D25DFF"/>
    <w:rsid w:val="00D3111F"/>
    <w:rsid w:val="00D33B97"/>
    <w:rsid w:val="00D371EF"/>
    <w:rsid w:val="00D473EB"/>
    <w:rsid w:val="00D47D16"/>
    <w:rsid w:val="00D50CDA"/>
    <w:rsid w:val="00D80D45"/>
    <w:rsid w:val="00D817A3"/>
    <w:rsid w:val="00D81FBD"/>
    <w:rsid w:val="00D86AE3"/>
    <w:rsid w:val="00D976FA"/>
    <w:rsid w:val="00DB458A"/>
    <w:rsid w:val="00DB5546"/>
    <w:rsid w:val="00DB60DF"/>
    <w:rsid w:val="00DD72D0"/>
    <w:rsid w:val="00DE75A6"/>
    <w:rsid w:val="00DF184E"/>
    <w:rsid w:val="00DF55E7"/>
    <w:rsid w:val="00E0088B"/>
    <w:rsid w:val="00E06158"/>
    <w:rsid w:val="00E06409"/>
    <w:rsid w:val="00E17989"/>
    <w:rsid w:val="00E51909"/>
    <w:rsid w:val="00E529D1"/>
    <w:rsid w:val="00E565D9"/>
    <w:rsid w:val="00E74BC7"/>
    <w:rsid w:val="00E91170"/>
    <w:rsid w:val="00E95B04"/>
    <w:rsid w:val="00EC31F1"/>
    <w:rsid w:val="00EC3BB3"/>
    <w:rsid w:val="00EE445A"/>
    <w:rsid w:val="00EF5143"/>
    <w:rsid w:val="00F02DA0"/>
    <w:rsid w:val="00F0691B"/>
    <w:rsid w:val="00F12C20"/>
    <w:rsid w:val="00F16A5A"/>
    <w:rsid w:val="00F23ECE"/>
    <w:rsid w:val="00F271B2"/>
    <w:rsid w:val="00F430BC"/>
    <w:rsid w:val="00F575F9"/>
    <w:rsid w:val="00F5771B"/>
    <w:rsid w:val="00F64EE6"/>
    <w:rsid w:val="00F66B61"/>
    <w:rsid w:val="00F8014F"/>
    <w:rsid w:val="00F979B4"/>
    <w:rsid w:val="00FA058E"/>
    <w:rsid w:val="00FA2149"/>
    <w:rsid w:val="00FA4CFA"/>
    <w:rsid w:val="00FA4DE3"/>
    <w:rsid w:val="00FB2E3D"/>
    <w:rsid w:val="00FB5598"/>
    <w:rsid w:val="00FB64E9"/>
    <w:rsid w:val="00FB6BDE"/>
    <w:rsid w:val="00FD0DDE"/>
    <w:rsid w:val="00FD41DC"/>
    <w:rsid w:val="00FD7ECC"/>
    <w:rsid w:val="00FE3B95"/>
    <w:rsid w:val="00FE79DF"/>
    <w:rsid w:val="00FF54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DFA"/>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03DFA"/>
    <w:pPr>
      <w:spacing w:after="0" w:line="240" w:lineRule="auto"/>
      <w:ind w:left="720"/>
    </w:pPr>
    <w:rPr>
      <w:rFonts w:cs="Times New Roman"/>
    </w:rPr>
  </w:style>
  <w:style w:type="paragraph" w:styleId="BodyText">
    <w:name w:val="Body Text"/>
    <w:basedOn w:val="Normal"/>
    <w:link w:val="BodyTextChar"/>
    <w:rsid w:val="00903DFA"/>
    <w:pPr>
      <w:widowControl w:val="0"/>
      <w:autoSpaceDE w:val="0"/>
      <w:autoSpaceDN w:val="0"/>
      <w:spacing w:after="0" w:line="240" w:lineRule="auto"/>
      <w:ind w:left="1240"/>
    </w:pPr>
    <w:rPr>
      <w:rFonts w:cs="Times New Roman"/>
      <w:sz w:val="24"/>
      <w:szCs w:val="24"/>
    </w:rPr>
  </w:style>
  <w:style w:type="character" w:customStyle="1" w:styleId="BodyTextChar">
    <w:name w:val="Body Text Char"/>
    <w:link w:val="BodyText"/>
    <w:locked/>
    <w:rsid w:val="00903DFA"/>
    <w:rPr>
      <w:rFonts w:ascii="Calibri" w:eastAsia="Calibri" w:hAnsi="Calibri"/>
      <w:sz w:val="24"/>
      <w:szCs w:val="24"/>
      <w:lang w:val="en-US" w:eastAsia="en-US" w:bidi="ar-SA"/>
    </w:rPr>
  </w:style>
  <w:style w:type="character" w:styleId="Hyperlink">
    <w:name w:val="Hyperlink"/>
    <w:uiPriority w:val="99"/>
    <w:unhideWhenUsed/>
    <w:rsid w:val="00D16488"/>
    <w:rPr>
      <w:color w:val="0000FF"/>
      <w:u w:val="single"/>
    </w:rPr>
  </w:style>
  <w:style w:type="character" w:styleId="FollowedHyperlink">
    <w:name w:val="FollowedHyperlink"/>
    <w:rsid w:val="00D16488"/>
    <w:rPr>
      <w:color w:val="800080"/>
      <w:u w:val="single"/>
    </w:rPr>
  </w:style>
  <w:style w:type="paragraph" w:styleId="Header">
    <w:name w:val="header"/>
    <w:basedOn w:val="Normal"/>
    <w:link w:val="HeaderChar"/>
    <w:uiPriority w:val="99"/>
    <w:unhideWhenUsed/>
    <w:rsid w:val="00BF5AFE"/>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link w:val="Header"/>
    <w:uiPriority w:val="99"/>
    <w:rsid w:val="00BF5AFE"/>
    <w:rPr>
      <w:sz w:val="24"/>
      <w:lang w:val="en-US" w:eastAsia="en-US"/>
    </w:rPr>
  </w:style>
  <w:style w:type="character" w:styleId="Strong">
    <w:name w:val="Strong"/>
    <w:basedOn w:val="DefaultParagraphFont"/>
    <w:uiPriority w:val="22"/>
    <w:qFormat/>
    <w:rsid w:val="001B5ECD"/>
    <w:rPr>
      <w:b/>
      <w:bCs/>
    </w:rPr>
  </w:style>
  <w:style w:type="paragraph" w:styleId="BalloonText">
    <w:name w:val="Balloon Text"/>
    <w:basedOn w:val="Normal"/>
    <w:link w:val="BalloonTextChar"/>
    <w:rsid w:val="00E74B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74BC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4024842">
      <w:bodyDiv w:val="1"/>
      <w:marLeft w:val="0"/>
      <w:marRight w:val="0"/>
      <w:marTop w:val="0"/>
      <w:marBottom w:val="0"/>
      <w:divBdr>
        <w:top w:val="none" w:sz="0" w:space="0" w:color="auto"/>
        <w:left w:val="none" w:sz="0" w:space="0" w:color="auto"/>
        <w:bottom w:val="none" w:sz="0" w:space="0" w:color="auto"/>
        <w:right w:val="none" w:sz="0" w:space="0" w:color="auto"/>
      </w:divBdr>
    </w:div>
    <w:div w:id="1401102358">
      <w:bodyDiv w:val="1"/>
      <w:marLeft w:val="0"/>
      <w:marRight w:val="0"/>
      <w:marTop w:val="0"/>
      <w:marBottom w:val="0"/>
      <w:divBdr>
        <w:top w:val="none" w:sz="0" w:space="0" w:color="auto"/>
        <w:left w:val="none" w:sz="0" w:space="0" w:color="auto"/>
        <w:bottom w:val="none" w:sz="0" w:space="0" w:color="auto"/>
        <w:right w:val="none" w:sz="0" w:space="0" w:color="auto"/>
      </w:divBdr>
    </w:div>
    <w:div w:id="201355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5CB63-845D-452E-899F-8B3E441C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4884</CharactersWithSpaces>
  <SharedDoc>false</SharedDoc>
  <HLinks>
    <vt:vector size="6" baseType="variant">
      <vt:variant>
        <vt:i4>1179718</vt:i4>
      </vt:variant>
      <vt:variant>
        <vt:i4>0</vt:i4>
      </vt:variant>
      <vt:variant>
        <vt:i4>0</vt:i4>
      </vt:variant>
      <vt:variant>
        <vt:i4>5</vt:i4>
      </vt:variant>
      <vt:variant>
        <vt:lpwstr>https://sahe.in/assets/naac/criteria2/2.6.1 Link for methods of learning outcomes.pdf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ops2</dc:creator>
  <cp:lastModifiedBy>admin</cp:lastModifiedBy>
  <cp:revision>14</cp:revision>
  <cp:lastPrinted>2022-07-28T09:44:00Z</cp:lastPrinted>
  <dcterms:created xsi:type="dcterms:W3CDTF">2021-12-10T07:18:00Z</dcterms:created>
  <dcterms:modified xsi:type="dcterms:W3CDTF">2022-08-02T06:47:00Z</dcterms:modified>
</cp:coreProperties>
</file>